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eastAsia="等线" w:cs="Times New Roman"/>
          <w:b/>
          <w:bCs/>
          <w:color w:val="auto"/>
          <w:sz w:val="24"/>
          <w:szCs w:val="24"/>
        </w:rPr>
      </w:pPr>
      <w:r>
        <w:rPr>
          <w:rFonts w:hint="eastAsia" w:ascii="Times New Roman" w:hAnsi="Times New Roman" w:eastAsia="等线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等线" w:cs="Times New Roman"/>
          <w:b/>
          <w:bCs/>
          <w:color w:val="auto"/>
          <w:sz w:val="24"/>
          <w:szCs w:val="24"/>
        </w:rPr>
        <w:t>Supp</w:t>
      </w:r>
      <w:r>
        <w:rPr>
          <w:rFonts w:hint="eastAsia" w:ascii="Times New Roman" w:hAnsi="Times New Roman" w:eastAsia="等线" w:cs="Times New Roman"/>
          <w:b/>
          <w:bCs/>
          <w:color w:val="auto"/>
          <w:sz w:val="24"/>
          <w:szCs w:val="24"/>
          <w:lang w:val="en-US" w:eastAsia="zh-CN"/>
        </w:rPr>
        <w:t xml:space="preserve">orting information </w:t>
      </w:r>
      <w:r>
        <w:rPr>
          <w:rFonts w:ascii="Times New Roman" w:hAnsi="Times New Roman" w:eastAsia="等线" w:cs="Times New Roman"/>
          <w:b/>
          <w:bCs/>
          <w:color w:val="auto"/>
          <w:sz w:val="24"/>
          <w:szCs w:val="24"/>
        </w:rPr>
        <w:t>of</w:t>
      </w:r>
    </w:p>
    <w:p>
      <w:pPr>
        <w:spacing w:line="480" w:lineRule="auto"/>
        <w:jc w:val="both"/>
        <w:rPr>
          <w:rFonts w:hint="default" w:ascii="Times New Roman" w:hAnsi="Times New Roman" w:cs="Times New Roman" w:eastAsia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</w:rPr>
        <w:t xml:space="preserve">Design of novel double-layer 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>wrapp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</w:rPr>
        <w:t>ed ammonium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</w:rPr>
        <w:t xml:space="preserve">polyphosphate and its application in 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 xml:space="preserve">aging resistance and 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</w:rPr>
        <w:t>flame retardant crosslinked polyethylene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 xml:space="preserve"> composites</w:t>
      </w:r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  <w:r>
        <w:rPr>
          <w:rFonts w:hint="eastAsia" w:ascii="Times New Roman" w:hAnsi="Times New Roman" w:cs="Times New Roman"/>
          <w:bCs/>
          <w:color w:val="auto"/>
          <w:sz w:val="24"/>
        </w:rPr>
        <w:t xml:space="preserve">Pengfei Jia, 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 xml:space="preserve">Pengfei Sun, Fuhao Yu, </w:t>
      </w:r>
      <w:r>
        <w:rPr>
          <w:rFonts w:hint="eastAsia" w:ascii="Times New Roman" w:hAnsi="Times New Roman" w:cs="Times New Roman"/>
          <w:bCs/>
          <w:color w:val="auto"/>
          <w:sz w:val="24"/>
        </w:rPr>
        <w:t>Lei Song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Cs/>
          <w:color w:val="auto"/>
          <w:sz w:val="24"/>
        </w:rPr>
        <w:t>Yuan Hu*, Bibo Wang*</w:t>
      </w:r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ind w:firstLine="1"/>
        <w:jc w:val="both"/>
        <w:rPr>
          <w:rFonts w:ascii="Times New Roman" w:hAnsi="Times New Roman" w:cs="Times New Roman"/>
          <w:i/>
          <w:iCs/>
          <w:color w:val="auto"/>
          <w:sz w:val="24"/>
        </w:rPr>
      </w:pPr>
      <w:bookmarkStart w:id="0" w:name="OLE_LINK40"/>
      <w:r>
        <w:rPr>
          <w:rFonts w:ascii="Times New Roman" w:hAnsi="Times New Roman" w:cs="Times New Roman"/>
          <w:i/>
          <w:iCs/>
          <w:color w:val="auto"/>
          <w:sz w:val="24"/>
        </w:rPr>
        <w:t>State Key Laboratory of Fire Science</w:t>
      </w:r>
      <w:bookmarkEnd w:id="0"/>
      <w:r>
        <w:rPr>
          <w:rFonts w:ascii="Times New Roman" w:hAnsi="Times New Roman" w:cs="Times New Roman"/>
          <w:i/>
          <w:iCs/>
          <w:color w:val="auto"/>
          <w:sz w:val="24"/>
        </w:rPr>
        <w:t xml:space="preserve">, University of Science and Technology of China, </w:t>
      </w:r>
      <w:bookmarkStart w:id="1" w:name="OLE_LINK31"/>
      <w:bookmarkStart w:id="2" w:name="OLE_LINK32"/>
      <w:r>
        <w:rPr>
          <w:rFonts w:ascii="Times New Roman" w:hAnsi="Times New Roman" w:cs="Times New Roman"/>
          <w:i/>
          <w:iCs/>
          <w:color w:val="auto"/>
          <w:sz w:val="24"/>
        </w:rPr>
        <w:t>96 Jinzhai Road, Hefei 230026, China.</w:t>
      </w:r>
      <w:bookmarkEnd w:id="1"/>
      <w:bookmarkEnd w:id="2"/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Cs/>
          <w:color w:val="auto"/>
          <w:sz w:val="24"/>
        </w:rPr>
      </w:pPr>
      <w:r>
        <w:rPr>
          <w:rFonts w:hint="eastAsia" w:ascii="Times New Roman" w:hAnsi="Times New Roman" w:cs="Times New Roman"/>
          <w:bCs/>
          <w:color w:val="auto"/>
          <w:sz w:val="24"/>
        </w:rPr>
        <w:t>*</w:t>
      </w:r>
      <w:r>
        <w:rPr>
          <w:rFonts w:ascii="Times New Roman" w:hAnsi="Times New Roman" w:cs="Times New Roman"/>
          <w:bCs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bCs/>
          <w:color w:val="auto"/>
          <w:sz w:val="24"/>
        </w:rPr>
        <w:t>Corresponding author</w:t>
      </w:r>
      <w:r>
        <w:rPr>
          <w:rFonts w:ascii="Times New Roman" w:hAnsi="Times New Roman" w:cs="Times New Roman"/>
          <w:bCs/>
          <w:color w:val="auto"/>
          <w:sz w:val="24"/>
        </w:rPr>
        <w:t>s</w:t>
      </w:r>
      <w:r>
        <w:rPr>
          <w:rFonts w:hint="eastAsia" w:ascii="Times New Roman" w:hAnsi="Times New Roman" w:cs="Times New Roman"/>
          <w:bCs/>
          <w:color w:val="auto"/>
          <w:sz w:val="24"/>
        </w:rPr>
        <w:t xml:space="preserve">. </w:t>
      </w: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  <w:r>
        <w:rPr>
          <w:rFonts w:hint="eastAsia" w:ascii="Times New Roman" w:hAnsi="Times New Roman" w:cs="Times New Roman"/>
          <w:bCs/>
          <w:color w:val="auto"/>
          <w:sz w:val="24"/>
        </w:rPr>
        <w:t xml:space="preserve">E-mail address: 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yuanhu</w:t>
      </w:r>
      <w:r>
        <w:rPr>
          <w:rFonts w:hint="eastAsia" w:ascii="Times New Roman" w:hAnsi="Times New Roman" w:cs="Times New Roman"/>
          <w:bCs/>
          <w:color w:val="auto"/>
          <w:sz w:val="24"/>
        </w:rPr>
        <w:t>@ustc.edu.cn (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Yuan</w:t>
      </w:r>
      <w:r>
        <w:rPr>
          <w:rFonts w:hint="eastAsia" w:ascii="Times New Roman" w:hAnsi="Times New Roman" w:cs="Times New Roman"/>
          <w:bCs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Hu</w:t>
      </w:r>
      <w:r>
        <w:rPr>
          <w:rFonts w:hint="eastAsia" w:ascii="Times New Roman" w:hAnsi="Times New Roman" w:cs="Times New Roman"/>
          <w:bCs/>
          <w:color w:val="auto"/>
          <w:sz w:val="24"/>
        </w:rPr>
        <w:t>)</w:t>
      </w:r>
      <w:r>
        <w:rPr>
          <w:rFonts w:ascii="Times New Roman" w:hAnsi="Times New Roman" w:cs="Times New Roman"/>
          <w:bCs/>
          <w:color w:val="auto"/>
          <w:sz w:val="24"/>
        </w:rPr>
        <w:t xml:space="preserve">; </w:t>
      </w:r>
    </w:p>
    <w:p>
      <w:pPr>
        <w:spacing w:line="480" w:lineRule="auto"/>
        <w:jc w:val="both"/>
        <w:rPr>
          <w:rFonts w:hint="eastAsia" w:ascii="Times New Roman" w:hAnsi="Times New Roman" w:cs="Times New Roman"/>
          <w:bCs/>
          <w:color w:val="auto"/>
          <w:sz w:val="24"/>
        </w:rPr>
      </w:pPr>
      <w:r>
        <w:rPr>
          <w:rFonts w:hint="eastAsia" w:ascii="Times New Roman" w:hAnsi="Times New Roman" w:cs="Times New Roman"/>
          <w:bCs/>
          <w:color w:val="auto"/>
          <w:sz w:val="24"/>
        </w:rPr>
        <w:t xml:space="preserve">E-mail address: wbibo@ustc.edu.cn (Bibo Wang); </w:t>
      </w:r>
    </w:p>
    <w:p>
      <w:pPr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Methods</w:t>
      </w:r>
    </w:p>
    <w:p>
      <w:pPr>
        <w:numPr>
          <w:ilvl w:val="1"/>
          <w:numId w:val="3"/>
        </w:numPr>
        <w:spacing w:line="48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Materials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0" w:afterAutospacing="0" w:line="480" w:lineRule="auto"/>
        <w:ind w:left="0" w:right="0" w:firstLine="480" w:firstLineChars="200"/>
        <w:jc w:val="both"/>
        <w:rPr>
          <w:rFonts w:hint="eastAsia" w:ascii="Times New Roman" w:hAnsi="Times New Roman" w:eastAsia="宋体" w:cs="Times New Roman"/>
          <w:color w:val="auto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32"/>
          <w:lang w:val="en-US" w:eastAsia="zh-CN"/>
        </w:rPr>
        <w:t xml:space="preserve">PE resin was provided by </w:t>
      </w:r>
      <w:r>
        <w:rPr>
          <w:rFonts w:hint="eastAsia" w:ascii="Times New Roman" w:hAnsi="Times New Roman" w:eastAsia="宋体" w:cs="Times New Roman"/>
          <w:i w:val="0"/>
          <w:iCs w:val="0"/>
          <w:color w:val="auto"/>
          <w:sz w:val="24"/>
          <w:szCs w:val="32"/>
          <w:lang w:val="en-US" w:eastAsia="zh-CN"/>
        </w:rPr>
        <w:t>Japan Preman Co., LTD</w:t>
      </w:r>
      <w:r>
        <w:rPr>
          <w:rFonts w:hint="eastAsia" w:ascii="Times New Roman" w:hAnsi="Times New Roman" w:eastAsia="宋体" w:cs="Times New Roman"/>
          <w:color w:val="auto"/>
          <w:sz w:val="24"/>
          <w:szCs w:val="32"/>
          <w:lang w:val="en-US" w:eastAsia="zh-CN"/>
        </w:rPr>
        <w:t>. APP was obtained by Shandong Donghu Chemical Technology Co. LTD; Tetraethyl orthosilicate, 3,5-tert-butyl-4-hydroxyphenylpropionic acid, triethylamine, trichloromethane, dichlorosulfoxide, ammonia, OP-10 emulsifier and anhydrous ethanol were purchased from Shanghai Aladin Reagent Company; deionized water was prepared by our laboratory.</w:t>
      </w:r>
    </w:p>
    <w:p>
      <w:pPr>
        <w:pStyle w:val="2"/>
        <w:numPr>
          <w:ilvl w:val="2"/>
          <w:numId w:val="0"/>
        </w:numPr>
        <w:spacing w:before="0" w:after="0" w:line="480" w:lineRule="auto"/>
        <w:jc w:val="both"/>
        <w:rPr>
          <w:rFonts w:hint="eastAsia" w:ascii="Times New Roman" w:hAnsi="Times New Roman" w:cs="Times New Roman"/>
          <w:color w:val="auto"/>
          <w:sz w:val="24"/>
        </w:rPr>
      </w:pPr>
      <w:r>
        <w:rPr>
          <w:rFonts w:hint="eastAsia" w:ascii="Times New Roman" w:hAnsi="Times New Roman" w:eastAsia="宋体" w:cs="Times New Roman"/>
          <w:color w:val="auto"/>
          <w:kern w:val="0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Times New Roman"/>
          <w:color w:val="auto"/>
          <w:kern w:val="0"/>
          <w:szCs w:val="24"/>
          <w:lang w:bidi="ar"/>
        </w:rPr>
        <w:t>.</w:t>
      </w:r>
      <w:r>
        <w:rPr>
          <w:rFonts w:hint="eastAsia" w:ascii="Times New Roman" w:hAnsi="Times New Roman" w:eastAsia="宋体" w:cs="Times New Roman"/>
          <w:color w:val="auto"/>
          <w:kern w:val="0"/>
          <w:szCs w:val="24"/>
          <w:lang w:val="en-US" w:eastAsia="zh-CN" w:bidi="ar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Cs w:val="24"/>
          <w:lang w:bidi="ar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4"/>
          <w:lang w:bidi="ar"/>
        </w:rPr>
        <w:t xml:space="preserve">Preparation of </w:t>
      </w:r>
      <w:r>
        <w:rPr>
          <w:rFonts w:hint="eastAsia" w:ascii="Times New Roman" w:hAnsi="Times New Roman" w:eastAsia="宋体" w:cs="Times New Roman"/>
          <w:color w:val="auto"/>
          <w:kern w:val="0"/>
          <w:szCs w:val="24"/>
          <w:lang w:bidi="ar"/>
        </w:rPr>
        <w:t>AO-Cl</w:t>
      </w:r>
    </w:p>
    <w:p>
      <w:pPr>
        <w:spacing w:line="480" w:lineRule="auto"/>
        <w:ind w:firstLine="480" w:firstLineChars="200"/>
        <w:jc w:val="both"/>
        <w:rPr>
          <w:rFonts w:hint="default" w:ascii="Times New Roman" w:hAnsi="Times New Roman" w:eastAsia="宋体" w:cs="Times New Roman"/>
          <w:color w:val="auto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</w:rPr>
        <w:t>Adding</w:t>
      </w:r>
      <w:r>
        <w:rPr>
          <w:rFonts w:ascii="Times New Roman" w:hAnsi="Times New Roman" w:cs="Times New Roman"/>
          <w:color w:val="auto"/>
          <w:sz w:val="24"/>
        </w:rPr>
        <w:t xml:space="preserve"> 5.56 g (0.02 mol) of </w:t>
      </w:r>
      <w:r>
        <w:rPr>
          <w:rFonts w:hint="eastAsia" w:ascii="Times New Roman" w:hAnsi="Times New Roman" w:cs="Times New Roman"/>
          <w:color w:val="auto"/>
          <w:sz w:val="24"/>
        </w:rPr>
        <w:t>3,5-tert-butyl-4-hydroxyphenylpropionic acid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</w:rPr>
        <w:t>AO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 xml:space="preserve">to a 250 mL </w:t>
      </w:r>
      <w:r>
        <w:rPr>
          <w:rFonts w:hint="eastAsia" w:ascii="Times New Roman" w:hAnsi="Times New Roman" w:cs="Times New Roman"/>
          <w:color w:val="auto"/>
          <w:sz w:val="24"/>
        </w:rPr>
        <w:t>t</w:t>
      </w:r>
      <w:r>
        <w:rPr>
          <w:rFonts w:ascii="Times New Roman" w:hAnsi="Times New Roman" w:cs="Times New Roman"/>
          <w:color w:val="auto"/>
          <w:sz w:val="24"/>
        </w:rPr>
        <w:t>hree-</w:t>
      </w:r>
      <w:r>
        <w:rPr>
          <w:rFonts w:hint="eastAsia" w:ascii="Times New Roman" w:hAnsi="Times New Roman" w:cs="Times New Roman"/>
          <w:color w:val="auto"/>
          <w:sz w:val="24"/>
        </w:rPr>
        <w:t>neck</w:t>
      </w:r>
      <w:r>
        <w:rPr>
          <w:rFonts w:ascii="Times New Roman" w:hAnsi="Times New Roman" w:cs="Times New Roman"/>
          <w:color w:val="auto"/>
          <w:sz w:val="24"/>
        </w:rPr>
        <w:t xml:space="preserve"> flask with 100 mL of trichloromethane.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4 mL of dichlorosulfoxide was added slowly</w:t>
      </w:r>
      <w:r>
        <w:rPr>
          <w:rFonts w:hint="eastAsia" w:ascii="Times New Roman" w:hAnsi="Times New Roman" w:cs="Times New Roman"/>
          <w:color w:val="auto"/>
          <w:sz w:val="24"/>
        </w:rPr>
        <w:t xml:space="preserve"> in above solution</w:t>
      </w:r>
      <w:r>
        <w:rPr>
          <w:rFonts w:ascii="Times New Roman" w:hAnsi="Times New Roman" w:cs="Times New Roman"/>
          <w:color w:val="auto"/>
          <w:sz w:val="24"/>
        </w:rPr>
        <w:t xml:space="preserve"> under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N</w:t>
      </w:r>
      <w:r>
        <w:rPr>
          <w:rFonts w:hint="eastAsia" w:ascii="Times New Roman" w:hAnsi="Times New Roman" w:cs="Times New Roman"/>
          <w:color w:val="auto"/>
          <w:sz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atmosphere</w:t>
      </w:r>
      <w:r>
        <w:rPr>
          <w:rFonts w:ascii="Times New Roman" w:hAnsi="Times New Roman" w:cs="Times New Roman"/>
          <w:color w:val="auto"/>
          <w:sz w:val="24"/>
        </w:rPr>
        <w:t xml:space="preserve"> at 50 </w:t>
      </w:r>
      <w:r>
        <w:rPr>
          <w:rFonts w:ascii="Times New Roman" w:hAnsi="Times New Roman" w:cs="Times New Roman"/>
          <w:color w:val="auto"/>
          <w:sz w:val="24"/>
          <w:vertAlign w:val="superscript"/>
        </w:rPr>
        <w:t>o</w:t>
      </w:r>
      <w:r>
        <w:rPr>
          <w:rFonts w:ascii="Times New Roman" w:hAnsi="Times New Roman" w:cs="Times New Roman"/>
          <w:color w:val="auto"/>
          <w:sz w:val="24"/>
        </w:rPr>
        <w:t>C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 xml:space="preserve">for 5 h. After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that</w:t>
      </w:r>
      <w:r>
        <w:rPr>
          <w:rFonts w:hint="eastAsia" w:ascii="Times New Roman" w:hAnsi="Times New Roman" w:cs="Times New Roman"/>
          <w:color w:val="auto"/>
          <w:sz w:val="24"/>
        </w:rPr>
        <w:t>, the above solution was</w:t>
      </w:r>
      <w:r>
        <w:rPr>
          <w:rFonts w:ascii="Times New Roman" w:hAnsi="Times New Roman" w:cs="Times New Roman"/>
          <w:color w:val="auto"/>
          <w:sz w:val="24"/>
        </w:rPr>
        <w:t xml:space="preserve"> distilled under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20 MPa</w:t>
      </w:r>
      <w:r>
        <w:rPr>
          <w:rFonts w:hint="eastAsia" w:ascii="Times New Roman" w:hAnsi="Times New Roman" w:cs="Times New Roman"/>
          <w:color w:val="auto"/>
          <w:sz w:val="24"/>
        </w:rPr>
        <w:t>,</w:t>
      </w:r>
      <w:r>
        <w:rPr>
          <w:rFonts w:ascii="Times New Roman" w:hAnsi="Times New Roman" w:cs="Times New Roman"/>
          <w:color w:val="auto"/>
          <w:sz w:val="24"/>
        </w:rPr>
        <w:t xml:space="preserve"> the solvent and unreacted dichlorosulfoxide were removed, finally yielding 3,5-ditert-butyl-4-hydroxyphenylpre</w:t>
      </w:r>
      <w:r>
        <w:rPr>
          <w:rFonts w:hint="eastAsia" w:ascii="Times New Roman" w:hAnsi="Times New Roman" w:cs="Times New Roman"/>
          <w:color w:val="auto"/>
          <w:sz w:val="24"/>
        </w:rPr>
        <w:t>-</w:t>
      </w:r>
      <w:r>
        <w:rPr>
          <w:rFonts w:ascii="Times New Roman" w:hAnsi="Times New Roman" w:cs="Times New Roman"/>
          <w:color w:val="auto"/>
          <w:sz w:val="24"/>
        </w:rPr>
        <w:t>nonyl chloride</w:t>
      </w:r>
      <w:r>
        <w:rPr>
          <w:rFonts w:hint="eastAsia" w:ascii="Times New Roman" w:hAnsi="Times New Roman" w:cs="Times New Roman"/>
          <w:color w:val="auto"/>
          <w:sz w:val="24"/>
        </w:rPr>
        <w:t xml:space="preserve"> (AO-Cl)</w:t>
      </w:r>
      <w:r>
        <w:rPr>
          <w:rFonts w:ascii="Times New Roman" w:hAnsi="Times New Roman" w:cs="Times New Roman"/>
          <w:color w:val="auto"/>
          <w:sz w:val="24"/>
        </w:rPr>
        <w:t>.</w:t>
      </w:r>
    </w:p>
    <w:p>
      <w:pPr>
        <w:numPr>
          <w:ilvl w:val="0"/>
          <w:numId w:val="0"/>
        </w:numPr>
        <w:spacing w:line="480" w:lineRule="auto"/>
        <w:ind w:leftChars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1.3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Characterizations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1. Fourier infrared spectrum (FTIR): the sample is mixed with KBr powder and determined by Nicolet MAGNA-IR 750 (Nicolet Instrument Corporation, USA) infrared analyzer.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2. X-ray photoelectron spectroscopy (XPS): determined by VG ESCALAB MKII-type electron spectrometer. The test light source uses Alka (</w:t>
      </w:r>
      <w:r>
        <w:rPr>
          <w:rFonts w:hint="eastAsia" w:ascii="Times New Roman" w:hAnsi="Times New Roman" w:eastAsia="宋体" w:cs="Times New Roman"/>
          <w:i/>
          <w:iCs/>
          <w:color w:val="auto"/>
          <w:sz w:val="24"/>
          <w:szCs w:val="24"/>
          <w:lang w:val="en-US" w:eastAsia="zh-CN"/>
        </w:rPr>
        <w:t>hv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= 1253.6 eV).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3. Scanning electron microscope (SEM): the sample is quenenched and broken in liquid nitrogen. After gold injection, AMRAY1000B scanning electron microscope is analyzed and photographed to observe the morphology of the sample section.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4. Transmission electron microscope (TEM): it is tested on a Jeol JEM.100SX transmission electron microscope (accelerating voltage of 100 kV).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5. Contact angle meter (WCA): Use the contact angle meter JC2000D (Shanghai Zhongchen Digital Technology Equipment Co., LTD.) to test the contact Angle according to the hanging drop method. 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6. Limiting oxygen index (LOI) test: the size of the sample used in the LOI test is 100 mm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6.5 mm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 mm, and tested on HC-2 oxygen index instrument according to GB/T 10707-2008 standard.</w:t>
      </w:r>
    </w:p>
    <w:p>
      <w:pPr>
        <w:spacing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7. UL-94 test: test on a CZF-3 horizontal vertical combustion tester. 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ample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size is 100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mm×12.7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mm×3 mm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baseline"/>
          <w:lang w:val="en-US" w:eastAsia="zh-CN"/>
        </w:rPr>
        <w:t>, corresponding to GB/T2408-2008 requirement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8. Cone calorimeter test: Cone calorimeter (manufactured by TESTech Instrument, Suzhou, China) test is conducted according to the ISO 5600 standard test method. The sample size is 100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100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 mm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and the radiant heat flux used in the test was 35 kW/m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9.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The thermal stability of the samples was recorded on a TGA Q5000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thermogravimetric analysis</w:t>
      </w:r>
      <w:r>
        <w:rPr>
          <w:rFonts w:ascii="Times New Roman" w:hAnsi="Times New Roman" w:cs="Times New Roman"/>
          <w:color w:val="auto"/>
          <w:sz w:val="24"/>
          <w:szCs w:val="24"/>
        </w:rPr>
        <w:t>. The samples with a weight of 5</w:t>
      </w:r>
      <w:r>
        <w:rPr>
          <w:rFonts w:hint="default" w:ascii="Times New Roman" w:hAnsi="Times New Roman" w:cs="Times New Roman"/>
          <w:color w:val="auto"/>
          <w:sz w:val="24"/>
        </w:rPr>
        <w:t>−</w:t>
      </w:r>
      <w:bookmarkStart w:id="5" w:name="_GoBack"/>
      <w:bookmarkEnd w:id="5"/>
      <w:r>
        <w:rPr>
          <w:rFonts w:ascii="Times New Roman" w:hAnsi="Times New Roman" w:cs="Times New Roman"/>
          <w:color w:val="auto"/>
          <w:sz w:val="24"/>
          <w:szCs w:val="24"/>
        </w:rPr>
        <w:t xml:space="preserve">10 mg were heated from 50 to 800 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at a heating rate of 20 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>·min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3" w:name="OLE_LINK3"/>
      <w:bookmarkStart w:id="4" w:name="OLE_LINK4"/>
      <w:r>
        <w:rPr>
          <w:rFonts w:ascii="Times New Roman" w:hAnsi="Times New Roman" w:cs="Times New Roman"/>
          <w:color w:val="auto"/>
          <w:sz w:val="24"/>
          <w:szCs w:val="24"/>
        </w:rPr>
        <w:t>in a N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or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air atmosphere</w:t>
      </w:r>
      <w:bookmarkEnd w:id="3"/>
      <w:bookmarkEnd w:id="4"/>
      <w:r>
        <w:rPr>
          <w:rFonts w:ascii="Times New Roman" w:hAnsi="Times New Roman" w:cs="Times New Roman"/>
          <w:color w:val="auto"/>
          <w:sz w:val="24"/>
          <w:szCs w:val="24"/>
        </w:rPr>
        <w:t>, respectively.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10.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The gas-phased products were evaluated by </w:t>
      </w:r>
      <w:r>
        <w:rPr>
          <w:rFonts w:ascii="Times New Roman" w:hAnsi="Times New Roman" w:eastAsia="宋体" w:cs="Times New Roman"/>
          <w:color w:val="auto"/>
          <w:kern w:val="0"/>
          <w:sz w:val="24"/>
        </w:rPr>
        <w:t xml:space="preserve">thermogravimetric analysis-infrared spectrometry (TG-IR, TA Q50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</w:rPr>
        <w:t>thermogravimetric</w:t>
      </w:r>
      <w:r>
        <w:rPr>
          <w:rFonts w:ascii="Times New Roman" w:hAnsi="Times New Roman" w:eastAsia="宋体" w:cs="Times New Roman"/>
          <w:color w:val="auto"/>
          <w:kern w:val="0"/>
          <w:sz w:val="24"/>
        </w:rPr>
        <w:t xml:space="preserve">-analyzer combined with a Nicolet 6700 FTIR spectrophotometer). The heating rate was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20 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color w:val="auto"/>
          <w:sz w:val="24"/>
          <w:szCs w:val="24"/>
        </w:rPr>
        <w:t>·min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in N</w:t>
      </w:r>
      <w:r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atmosphere and 10</w:t>
      </w:r>
      <w:r>
        <w:rPr>
          <w:rFonts w:hint="default" w:ascii="Times New Roman" w:hAnsi="Times New Roman" w:cs="Times New Roman"/>
          <w:color w:val="auto"/>
          <w:sz w:val="24"/>
        </w:rPr>
        <w:t>−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20 mg </w:t>
      </w:r>
      <w:r>
        <w:rPr>
          <w:rFonts w:ascii="Times New Roman" w:hAnsi="Times New Roman" w:eastAsia="宋体" w:cs="Times New Roman"/>
          <w:color w:val="auto"/>
          <w:kern w:val="0"/>
          <w:sz w:val="24"/>
        </w:rPr>
        <w:t xml:space="preserve">samples were heated from 50 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</w:t>
      </w:r>
      <w:r>
        <w:rPr>
          <w:rFonts w:ascii="Times New Roman" w:hAnsi="Times New Roman" w:eastAsia="宋体" w:cs="Times New Roman"/>
          <w:color w:val="auto"/>
          <w:kern w:val="0"/>
          <w:sz w:val="24"/>
        </w:rPr>
        <w:t xml:space="preserve"> to 800 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</w:t>
      </w:r>
      <w:r>
        <w:rPr>
          <w:rFonts w:ascii="Times New Roman" w:hAnsi="Times New Roman" w:eastAsia="宋体" w:cs="Times New Roman"/>
          <w:color w:val="auto"/>
          <w:kern w:val="0"/>
          <w:sz w:val="24"/>
        </w:rPr>
        <w:t>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11. Raman spectra were measured on a LabRAM-HR Confocal Raman Microprobe (JobinYvon Instruments, France) in the wavenumber range of 1800 to 500 cm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-1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. And the excitation wavelength was 514 nm.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12. Real-time Fourier transform infrared (RT-FTIR) was used to study the solid phase products during the pyrolysis of XLEVA by Nicolet 6700 spectrometer. RT-FTIR test sample preparation: a small amount of XLPE composite material and KBr powder were grinded into evenly mixed fine powder by mortar, and then pressed into pieces by tablet press.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13. Mechanical properties: the mechanical properties were conducted by an Instron 5565A (USA) at a loading speed of 100 mm/min according to GB/T528-2009 (dumb-bell shape). And at least 5 specimens were used for each test. 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14. Oxidation induction time (OIT) was measured using differential scanning calorimeter (TA DSC Q800) according to the standard method (ISO 11357-6:2008). The method used for the OIT test is as follows. After the sample was held at 25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C for 5 min under a nitrogen flow of 50 ml/min, the timer started. The sample was heated to 210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C at a rate of 20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C/min, and then held at 5 min for equilibration, still under a nitrogen flow of 50 ml/min. After that the gas was switched to oxygen with the flow rate of 50 ml/min. The oxidation of the sample was observed as a sharp increase in heat flow due to the exothermic nature of the oxidation reaction. The OIT was obtained by the software of Perkin-Elmer DSC 7. </w:t>
      </w:r>
    </w:p>
    <w:p>
      <w:pPr>
        <w:spacing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15. Accelerated thermal aging tests: the obtained dumbbell-shaped specimens were placed in an air oven at 135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C for extended thermal aging. At appropriate time intervals, the samples were taken out from the oven. The mechanical properties were conducted by an Instron 5565A (USA) at a loading speed of 100 mm/min (dumb-bell shape).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16. DPPH free radical scavenging activity: 2 mL of DPPH solution (0.04 mg/mL in ethyl alcohol) was incubated with 2.0 mL of sample solution of AO, APP, SiAPP and MCAPP in ethyl alcohol with different concentrations (10</w:t>
      </w:r>
      <w:r>
        <w:rPr>
          <w:rFonts w:hint="default" w:ascii="Times New Roman" w:hAnsi="Times New Roman" w:cs="Times New Roman"/>
          <w:color w:val="auto"/>
          <w:sz w:val="24"/>
        </w:rPr>
        <w:t>−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160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µ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g/mL), respectively. After 30 min of incubation, the absorbance was measured at 517 nm with a UV-vis spectrophotometer (Alpha-1860) and termed as A1. The scavenging activity was calculated according to the following formula:</w:t>
      </w:r>
    </w:p>
    <w:p>
      <w:pPr>
        <w:spacing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position w:val="-24"/>
          <w:sz w:val="24"/>
          <w:szCs w:val="24"/>
          <w:lang w:val="en-US" w:eastAsia="zh-CN"/>
        </w:rPr>
        <w:object>
          <v:shape id="_x0000_i1025" o:spt="75" alt="" type="#_x0000_t75" style="height:31pt;width:218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4">
            <o:LockedField>false</o:LockedField>
          </o:OLEObject>
        </w:object>
      </w:r>
    </w:p>
    <w:p>
      <w:pPr>
        <w:spacing w:line="48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where 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bscript"/>
          <w:lang w:val="en-US" w:eastAsia="zh-CN"/>
        </w:rPr>
        <w:t>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was the absorbance value of ethyl alcohol (2.0 mL) &amp; sample solution in ethyl alcohol (2.0 mL). The absorbance value of DPPH solution in methanol (2.0 mL) &amp; ethyl alcohol (2.0 mL) was denoted as 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.</w:t>
      </w:r>
    </w:p>
    <w:p>
      <w:pPr>
        <w:numPr>
          <w:ilvl w:val="0"/>
          <w:numId w:val="4"/>
        </w:numPr>
        <w:spacing w:line="48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Smoke density tests were performed on an machine (JSC-2, Jiangning Nanjing Analytical Instrument Co., LTD. China) according to GB/T 8323 (2008). Each sample with the dimension of 75 mm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75 mm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 mm was wrapped by aluminum foil and then exposed to an external heat flux of 25 kW/m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, three tests were also repeated to obtain the average.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2"/>
        </w:numPr>
        <w:spacing w:line="480" w:lineRule="auto"/>
        <w:ind w:left="360" w:leftChars="0" w:hanging="360" w:firstLineChars="0"/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Tables</w:t>
      </w:r>
    </w:p>
    <w:p>
      <w:p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1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32"/>
        </w:rPr>
        <w:t>TGA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 xml:space="preserve"> data</w:t>
      </w:r>
      <w:r>
        <w:rPr>
          <w:rFonts w:ascii="Times New Roman" w:hAnsi="Times New Roman" w:cs="Times New Roman"/>
          <w:color w:val="auto"/>
          <w:sz w:val="24"/>
          <w:szCs w:val="32"/>
        </w:rPr>
        <w:t xml:space="preserve"> of 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>APP, SiAPP and MCAPP</w:t>
      </w:r>
      <w:r>
        <w:rPr>
          <w:rFonts w:ascii="Times New Roman" w:hAnsi="Times New Roman" w:cs="Times New Roman"/>
          <w:color w:val="auto"/>
          <w:sz w:val="24"/>
          <w:szCs w:val="32"/>
        </w:rPr>
        <w:t xml:space="preserve"> (in nitrogen)</w:t>
      </w:r>
    </w:p>
    <w:tbl>
      <w:tblPr>
        <w:tblStyle w:val="5"/>
        <w:tblW w:w="6819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96"/>
        <w:gridCol w:w="1425"/>
        <w:gridCol w:w="1350"/>
        <w:gridCol w:w="204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0" w:hRule="exact"/>
          <w:jc w:val="center"/>
        </w:trPr>
        <w:tc>
          <w:tcPr>
            <w:tcW w:w="1996" w:type="dxa"/>
            <w:tcBorders>
              <w:top w:val="single" w:color="EC6881" w:sz="4" w:space="0"/>
              <w:left w:val="single" w:color="FFFFFF" w:sz="0" w:space="0"/>
              <w:bottom w:val="single" w:color="EC6881" w:sz="4" w:space="0"/>
              <w:right w:val="nil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660" w:firstLineChars="300"/>
              <w:jc w:val="both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Sample</w:t>
            </w:r>
          </w:p>
        </w:tc>
        <w:tc>
          <w:tcPr>
            <w:tcW w:w="1425" w:type="dxa"/>
            <w:tcBorders>
              <w:top w:val="single" w:color="EC6881" w:sz="4" w:space="0"/>
              <w:left w:val="nil"/>
              <w:bottom w:val="single" w:color="EC6881" w:sz="4" w:space="0"/>
              <w:right w:val="nil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T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  <w:t>-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  <w:t>5 wt%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perscript"/>
                <w:lang w:bidi="en-US"/>
              </w:rPr>
              <w:t>o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1350" w:type="dxa"/>
            <w:tcBorders>
              <w:top w:val="single" w:color="EC6881" w:sz="4" w:space="0"/>
              <w:left w:val="nil"/>
              <w:bottom w:val="single" w:color="EC6881" w:sz="4" w:space="0"/>
              <w:right w:val="nil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221" w:firstLineChars="100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T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  <w:t>-10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  <w:t>wt%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perscript"/>
                <w:lang w:bidi="en-US"/>
              </w:rPr>
              <w:t>o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2048" w:type="dxa"/>
            <w:tcBorders>
              <w:top w:val="single" w:color="EC6881" w:sz="4" w:space="0"/>
              <w:left w:val="nil"/>
              <w:bottom w:val="single" w:color="EC6881" w:sz="4" w:space="0"/>
              <w:right w:val="single" w:color="FFFFFF" w:sz="0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Char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residue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(wt%,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800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°C)</w:t>
            </w:r>
          </w:p>
          <w:p>
            <w:pPr>
              <w:spacing w:after="260"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</w:pPr>
          </w:p>
          <w:p>
            <w:pPr>
              <w:spacing w:line="360" w:lineRule="auto"/>
              <w:ind w:firstLine="638" w:firstLineChars="290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eastAsia="en-US" w:bidi="en-US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1996" w:type="dxa"/>
            <w:tcBorders>
              <w:top w:val="single" w:color="EC6881" w:sz="4" w:space="0"/>
              <w:left w:val="single" w:color="FFFFFF" w:sz="0" w:space="0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ind w:firstLine="663" w:firstLineChars="300"/>
              <w:jc w:val="both"/>
              <w:rPr>
                <w:rFonts w:ascii="等线" w:hAnsi="等线" w:eastAsia="等线" w:cs="Times New Roman"/>
                <w:color w:val="auto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APP</w:t>
            </w:r>
          </w:p>
        </w:tc>
        <w:tc>
          <w:tcPr>
            <w:tcW w:w="1425" w:type="dxa"/>
            <w:tcBorders>
              <w:top w:val="single" w:color="EC6881" w:sz="4" w:space="0"/>
              <w:left w:val="nil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jc w:val="center"/>
              <w:rPr>
                <w:rFonts w:hint="default" w:ascii="等线" w:hAnsi="等线" w:eastAsia="宋体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05.1</w:t>
            </w:r>
          </w:p>
        </w:tc>
        <w:tc>
          <w:tcPr>
            <w:tcW w:w="1350" w:type="dxa"/>
            <w:tcBorders>
              <w:top w:val="single" w:color="EC6881" w:sz="4" w:space="0"/>
              <w:left w:val="nil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ind w:firstLine="560"/>
              <w:jc w:val="center"/>
              <w:rPr>
                <w:rFonts w:hint="default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43.3</w:t>
            </w:r>
          </w:p>
        </w:tc>
        <w:tc>
          <w:tcPr>
            <w:tcW w:w="2048" w:type="dxa"/>
            <w:tcBorders>
              <w:top w:val="single" w:color="EC6881" w:sz="4" w:space="0"/>
              <w:left w:val="nil"/>
              <w:bottom w:val="nil"/>
              <w:right w:val="single" w:color="FFFFFF" w:sz="0" w:space="0"/>
            </w:tcBorders>
            <w:shd w:val="clear" w:color="auto" w:fill="FFF8FA"/>
            <w:vAlign w:val="center"/>
          </w:tcPr>
          <w:p>
            <w:pPr>
              <w:spacing w:line="480" w:lineRule="auto"/>
              <w:ind w:firstLine="1078" w:firstLineChars="490"/>
              <w:jc w:val="both"/>
              <w:rPr>
                <w:rFonts w:hint="default" w:ascii="等线" w:hAnsi="等线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11.1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1996" w:type="dxa"/>
            <w:tcBorders>
              <w:top w:val="nil"/>
              <w:left w:val="single" w:color="FFFFFF" w:sz="0" w:space="0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spacing w:line="480" w:lineRule="auto"/>
              <w:jc w:val="center"/>
              <w:rPr>
                <w:rFonts w:ascii="等线" w:hAnsi="等线" w:eastAsia="宋体" w:cs="Times New Roman"/>
                <w:color w:val="auto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SiAPP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spacing w:line="480" w:lineRule="auto"/>
              <w:jc w:val="center"/>
              <w:rPr>
                <w:rFonts w:hint="default" w:ascii="等线" w:hAnsi="等线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304.5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spacing w:line="480" w:lineRule="auto"/>
              <w:ind w:firstLine="560"/>
              <w:jc w:val="center"/>
              <w:rPr>
                <w:rFonts w:hint="default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341.6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color="FFFFFF" w:sz="0" w:space="0"/>
            </w:tcBorders>
            <w:shd w:val="clear" w:color="auto" w:fill="FFFFFF"/>
            <w:vAlign w:val="center"/>
          </w:tcPr>
          <w:p>
            <w:pPr>
              <w:spacing w:line="480" w:lineRule="auto"/>
              <w:ind w:firstLine="520"/>
              <w:jc w:val="center"/>
              <w:rPr>
                <w:rFonts w:hint="default" w:ascii="等线" w:hAnsi="等线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44.7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1996" w:type="dxa"/>
            <w:tcBorders>
              <w:top w:val="nil"/>
              <w:left w:val="single" w:color="FFFFFF" w:sz="0" w:space="0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jc w:val="center"/>
              <w:rPr>
                <w:rFonts w:ascii="等线" w:hAnsi="等线" w:eastAsia="宋体" w:cs="Times New Roman"/>
                <w:color w:val="auto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MCAPP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jc w:val="center"/>
              <w:rPr>
                <w:rFonts w:hint="default" w:ascii="等线" w:hAnsi="等线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301.3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8FA"/>
            <w:vAlign w:val="center"/>
          </w:tcPr>
          <w:p>
            <w:pPr>
              <w:spacing w:line="480" w:lineRule="auto"/>
              <w:ind w:firstLine="560"/>
              <w:jc w:val="center"/>
              <w:rPr>
                <w:rFonts w:hint="default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345.9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color="FFFFFF" w:sz="0" w:space="0"/>
            </w:tcBorders>
            <w:shd w:val="clear" w:color="auto" w:fill="FFF8FA"/>
            <w:vAlign w:val="center"/>
          </w:tcPr>
          <w:p>
            <w:pPr>
              <w:spacing w:line="480" w:lineRule="auto"/>
              <w:ind w:firstLine="520"/>
              <w:jc w:val="center"/>
              <w:rPr>
                <w:rFonts w:hint="default" w:ascii="等线" w:hAnsi="等线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val="en-US" w:eastAsia="zh-CN" w:bidi="en-US"/>
              </w:rPr>
              <w:t>38.0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1996" w:type="dxa"/>
            <w:tcBorders>
              <w:top w:val="nil"/>
              <w:left w:val="single" w:color="FFFFFF" w:sz="0" w:space="0"/>
              <w:bottom w:val="single" w:color="EC6881" w:sz="0" w:space="0"/>
              <w:right w:val="nil"/>
            </w:tcBorders>
            <w:shd w:val="clear" w:color="auto" w:fill="FBDFE4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AO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EC6881" w:sz="0" w:space="0"/>
              <w:right w:val="nil"/>
            </w:tcBorders>
            <w:shd w:val="clear" w:color="auto" w:fill="FBDFE4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  <w:t>193.1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EC6881" w:sz="0" w:space="0"/>
              <w:right w:val="nil"/>
            </w:tcBorders>
            <w:shd w:val="clear" w:color="auto" w:fill="FBDFE4"/>
            <w:vAlign w:val="center"/>
          </w:tcPr>
          <w:p>
            <w:pPr>
              <w:spacing w:line="480" w:lineRule="auto"/>
              <w:ind w:firstLine="560"/>
              <w:jc w:val="center"/>
              <w:rPr>
                <w:rFonts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  <w:t>200.2</w:t>
            </w:r>
          </w:p>
        </w:tc>
        <w:tc>
          <w:tcPr>
            <w:tcW w:w="2048" w:type="dxa"/>
            <w:tcBorders>
              <w:top w:val="nil"/>
              <w:left w:val="nil"/>
              <w:bottom w:val="single" w:color="EC6881" w:sz="0" w:space="0"/>
              <w:right w:val="single" w:color="FFFFFF" w:sz="0" w:space="0"/>
            </w:tcBorders>
            <w:shd w:val="clear" w:color="auto" w:fill="FBDFE4"/>
            <w:vAlign w:val="center"/>
          </w:tcPr>
          <w:p>
            <w:pPr>
              <w:spacing w:line="480" w:lineRule="auto"/>
              <w:ind w:firstLine="520"/>
              <w:jc w:val="center"/>
              <w:rPr>
                <w:rFonts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2"/>
                <w:szCs w:val="22"/>
                <w:lang w:bidi="en-US"/>
              </w:rPr>
              <w:t>3.7</w:t>
            </w:r>
          </w:p>
        </w:tc>
      </w:tr>
    </w:tbl>
    <w:p>
      <w:pPr>
        <w:spacing w:line="480" w:lineRule="auto"/>
        <w:jc w:val="both"/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spacing w:line="480" w:lineRule="auto"/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S2.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The grafting ratio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AO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molecules onto the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SiPAPP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surface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MCAPP.</w:t>
      </w:r>
    </w:p>
    <w:tbl>
      <w:tblPr>
        <w:tblStyle w:val="6"/>
        <w:tblW w:w="851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8"/>
        <w:gridCol w:w="1863"/>
        <w:gridCol w:w="2274"/>
        <w:gridCol w:w="227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8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1863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AO</w:t>
            </w:r>
          </w:p>
        </w:tc>
        <w:tc>
          <w:tcPr>
            <w:tcW w:w="2274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SiAPP</w:t>
            </w:r>
          </w:p>
        </w:tc>
        <w:tc>
          <w:tcPr>
            <w:tcW w:w="2274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MCAPP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8" w:type="dxa"/>
            <w:tcBorders>
              <w:top w:val="single" w:color="auto" w:sz="8" w:space="0"/>
              <w:bottom w:val="nil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val="en-US" w:eastAsia="zh-CN"/>
              </w:rPr>
              <w:t>W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 xml:space="preserve"> (%)</w:t>
            </w:r>
          </w:p>
        </w:tc>
        <w:tc>
          <w:tcPr>
            <w:tcW w:w="1863" w:type="dxa"/>
            <w:tcBorders>
              <w:top w:val="single" w:color="auto" w:sz="8" w:space="0"/>
              <w:bottom w:val="nil"/>
            </w:tcBorders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3.7</w:t>
            </w:r>
          </w:p>
        </w:tc>
        <w:tc>
          <w:tcPr>
            <w:tcW w:w="2274" w:type="dxa"/>
            <w:tcBorders>
              <w:top w:val="single" w:color="auto" w:sz="8" w:space="0"/>
              <w:bottom w:val="nil"/>
            </w:tcBorders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44.7</w:t>
            </w:r>
          </w:p>
        </w:tc>
        <w:tc>
          <w:tcPr>
            <w:tcW w:w="2274" w:type="dxa"/>
            <w:tcBorders>
              <w:top w:val="single" w:color="auto" w:sz="8" w:space="0"/>
              <w:bottom w:val="nil"/>
            </w:tcBorders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38.0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8" w:type="dxa"/>
            <w:tcBorders>
              <w:top w:val="nil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val="en-US" w:eastAsia="zh-CN"/>
              </w:rPr>
              <w:t>D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 xml:space="preserve"> (%)</w:t>
            </w:r>
          </w:p>
        </w:tc>
        <w:tc>
          <w:tcPr>
            <w:tcW w:w="1863" w:type="dxa"/>
            <w:tcBorders>
              <w:top w:val="nil"/>
            </w:tcBorders>
          </w:tcPr>
          <w:p>
            <w:pPr>
              <w:spacing w:line="480" w:lineRule="auto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None</w:t>
            </w:r>
          </w:p>
        </w:tc>
        <w:tc>
          <w:tcPr>
            <w:tcW w:w="2274" w:type="dxa"/>
            <w:tcBorders>
              <w:top w:val="nil"/>
            </w:tcBorders>
          </w:tcPr>
          <w:p>
            <w:pPr>
              <w:spacing w:line="480" w:lineRule="auto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None</w:t>
            </w:r>
          </w:p>
        </w:tc>
        <w:tc>
          <w:tcPr>
            <w:tcW w:w="2274" w:type="dxa"/>
            <w:tcBorders>
              <w:top w:val="nil"/>
            </w:tcBorders>
          </w:tcPr>
          <w:p>
            <w:pPr>
              <w:spacing w:line="480" w:lineRule="auto"/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16.3</w:t>
            </w:r>
          </w:p>
        </w:tc>
      </w:tr>
    </w:tbl>
    <w:p>
      <w:pPr>
        <w:spacing w:line="480" w:lineRule="auto"/>
        <w:jc w:val="both"/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Note: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W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is the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char residue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the samples, and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D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is the grafting ratio of the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samples.</w:t>
      </w:r>
    </w:p>
    <w:p>
      <w:pPr>
        <w:spacing w:line="480" w:lineRule="auto"/>
        <w:ind w:firstLine="480" w:firstLineChars="200"/>
        <w:jc w:val="left"/>
        <w:rPr>
          <w:rFonts w:hint="eastAsia" w:hAnsi="Cambria Math" w:cs="Times New Roman"/>
          <w:b w:val="0"/>
          <w:bCs w:val="0"/>
          <w:i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For the sample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MCAPP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, the grafting ratio (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D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)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AO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molecules on the unit mass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MCPAPP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(per gram) was calculated with the following equations.</w:t>
      </w:r>
    </w:p>
    <w:p>
      <w:pPr>
        <w:spacing w:line="480" w:lineRule="auto"/>
        <w:jc w:val="center"/>
        <w:rPr>
          <w:rFonts w:hint="default"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Cambria Math" w:hAnsi="Cambria Math" w:cs="Cambria Math"/>
          <w:b w:val="0"/>
          <w:bCs w:val="0"/>
          <w:i/>
          <w:iCs/>
          <w:color w:val="auto"/>
          <w:kern w:val="2"/>
          <w:sz w:val="24"/>
          <w:szCs w:val="24"/>
          <w:lang w:val="en-US" w:eastAsia="zh-CN" w:bidi="ar-SA"/>
        </w:rPr>
        <w:t>D</w:t>
      </w:r>
      <w:r>
        <w:rPr>
          <w:rFonts w:hint="default" w:ascii="Cambria Math" w:hAnsi="Cambria Math" w:cs="Cambria Math"/>
          <w:b w:val="0"/>
          <w:bCs w:val="0"/>
          <w:i w:val="0"/>
          <w:color w:val="auto"/>
          <w:kern w:val="2"/>
          <w:sz w:val="24"/>
          <w:szCs w:val="24"/>
          <w:lang w:val="en-US" w:eastAsia="zh-CN" w:bidi="ar-SA"/>
        </w:rPr>
        <w:t>1=</w:t>
      </w:r>
      <m:oMath>
        <m:f>
          <m:fPr>
            <m:ctrlPr>
              <w:rPr>
                <w:rFonts w:hint="default" w:ascii="Cambria Math" w:hAnsi="Cambria Math" w:cs="Times New Roman"/>
                <w:bCs w:val="0"/>
                <w:i/>
                <w:color w:val="auto"/>
                <w:kern w:val="2"/>
                <w:sz w:val="24"/>
                <w:szCs w:val="28"/>
                <w:lang w:val="en-US" w:bidi="ar-SA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auto"/>
                <w:kern w:val="2"/>
                <w:sz w:val="24"/>
                <w:szCs w:val="28"/>
                <w:lang w:val="en-US" w:eastAsia="zh-CN" w:bidi="ar-SA"/>
              </w:rPr>
              <m:t>(W2−W3)</m:t>
            </m:r>
            <m:ctrlPr>
              <w:rPr>
                <w:rFonts w:hint="default" w:ascii="Cambria Math" w:hAnsi="Cambria Math" w:cs="Times New Roman"/>
                <w:bCs w:val="0"/>
                <w:i/>
                <w:color w:val="auto"/>
                <w:kern w:val="2"/>
                <w:sz w:val="24"/>
                <w:szCs w:val="28"/>
                <w:lang w:val="en-US" w:bidi="ar-SA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color w:val="auto"/>
                <w:kern w:val="2"/>
                <w:sz w:val="24"/>
                <w:szCs w:val="28"/>
                <w:lang w:val="en-US" w:eastAsia="zh-CN" w:bidi="ar-SA"/>
              </w:rPr>
              <m:t>W2−W1</m:t>
            </m:r>
            <m:ctrlPr>
              <w:rPr>
                <w:rFonts w:hint="default" w:ascii="Cambria Math" w:hAnsi="Cambria Math" w:cs="Times New Roman"/>
                <w:bCs w:val="0"/>
                <w:i/>
                <w:color w:val="auto"/>
                <w:kern w:val="2"/>
                <w:sz w:val="24"/>
                <w:szCs w:val="28"/>
                <w:lang w:val="en-US" w:bidi="ar-SA"/>
              </w:rPr>
            </m:ctrlPr>
          </m:den>
        </m:f>
        <m:r>
          <m:rPr/>
          <w:rPr>
            <w:rFonts w:ascii="Cambria Math" w:hAnsi="Cambria Math" w:cs="Times New Roman"/>
            <w:color w:val="auto"/>
            <w:kern w:val="2"/>
            <w:sz w:val="24"/>
            <w:szCs w:val="24"/>
            <w:lang w:val="en-US" w:bidi="ar-SA"/>
          </w:rPr>
          <m:t>×</m:t>
        </m:r>
        <m:r>
          <m:rPr/>
          <w:rPr>
            <w:rFonts w:hint="default" w:ascii="Cambria Math" w:hAnsi="Cambria Math" w:cs="Times New Roman"/>
            <w:color w:val="auto"/>
            <w:kern w:val="2"/>
            <w:sz w:val="24"/>
            <w:szCs w:val="24"/>
            <w:lang w:val="en-US" w:eastAsia="zh-CN" w:bidi="ar-SA"/>
          </w:rPr>
          <m:t>100%</m:t>
        </m:r>
      </m:oMath>
    </w:p>
    <w:p>
      <w:p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where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W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1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W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2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, and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  <w:lang w:val="en-US" w:eastAsia="zh-CN"/>
        </w:rPr>
        <w:t>W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are the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char residue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AO, SiAPP and MCAPP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, respectively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D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is the grafting ratio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AO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molecules for per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gram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MCAPP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>
      <w:p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spacing w:line="480" w:lineRule="auto"/>
        <w:jc w:val="both"/>
        <w:rPr>
          <w:color w:val="auto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. The mechanical properties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of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XLPE composites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tbl>
      <w:tblPr>
        <w:tblStyle w:val="6"/>
        <w:tblW w:w="631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1884"/>
        <w:gridCol w:w="230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1884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Tensile strength (MPa)</w:t>
            </w:r>
          </w:p>
        </w:tc>
        <w:tc>
          <w:tcPr>
            <w:tcW w:w="2300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Elongation at break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tcBorders>
              <w:top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PE-1</w:t>
            </w:r>
          </w:p>
        </w:tc>
        <w:tc>
          <w:tcPr>
            <w:tcW w:w="1884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15.0</w:t>
            </w:r>
          </w:p>
        </w:tc>
        <w:tc>
          <w:tcPr>
            <w:tcW w:w="2300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396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PE-2</w:t>
            </w:r>
          </w:p>
        </w:tc>
        <w:tc>
          <w:tcPr>
            <w:tcW w:w="1884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10.1</w:t>
            </w:r>
          </w:p>
        </w:tc>
        <w:tc>
          <w:tcPr>
            <w:tcW w:w="2300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149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PE-3</w:t>
            </w:r>
          </w:p>
        </w:tc>
        <w:tc>
          <w:tcPr>
            <w:tcW w:w="1884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11.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300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154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PE-4</w:t>
            </w:r>
          </w:p>
        </w:tc>
        <w:tc>
          <w:tcPr>
            <w:tcW w:w="1884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2300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163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tcBorders>
              <w:bottom w:val="nil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PE-5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11.9</w:t>
            </w:r>
          </w:p>
        </w:tc>
        <w:tc>
          <w:tcPr>
            <w:tcW w:w="2300" w:type="dxa"/>
            <w:tcBorders>
              <w:bottom w:val="nil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151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tcBorders>
              <w:top w:val="nil"/>
              <w:bottom w:val="single" w:color="auto" w:sz="8" w:space="0"/>
            </w:tcBorders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XL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val="en-US" w:eastAsia="zh-CN"/>
              </w:rPr>
              <w:t>PE-6</w:t>
            </w:r>
          </w:p>
        </w:tc>
        <w:tc>
          <w:tcPr>
            <w:tcW w:w="1884" w:type="dxa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11.5</w:t>
            </w:r>
          </w:p>
        </w:tc>
        <w:tc>
          <w:tcPr>
            <w:tcW w:w="2300" w:type="dxa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156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%</w:t>
            </w:r>
          </w:p>
        </w:tc>
      </w:tr>
    </w:tbl>
    <w:p>
      <w:pPr>
        <w:numPr>
          <w:ilvl w:val="0"/>
          <w:numId w:val="0"/>
        </w:numPr>
        <w:spacing w:line="480" w:lineRule="auto"/>
        <w:ind w:leftChars="0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spacing w:line="480" w:lineRule="auto"/>
        <w:jc w:val="both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 w:eastAsia="等线" w:cs="Times New Roman"/>
          <w:b/>
          <w:bCs/>
          <w:color w:val="auto"/>
          <w:sz w:val="24"/>
        </w:rPr>
        <w:t xml:space="preserve">Table </w:t>
      </w:r>
      <w:r>
        <w:rPr>
          <w:rFonts w:hint="eastAsia" w:ascii="Times New Roman" w:hAnsi="Times New Roman" w:eastAsia="等线" w:cs="Times New Roman"/>
          <w:b/>
          <w:bCs/>
          <w:color w:val="auto"/>
          <w:sz w:val="24"/>
          <w:lang w:val="en-US" w:eastAsia="zh-CN"/>
        </w:rPr>
        <w:t>S4</w:t>
      </w:r>
      <w:r>
        <w:rPr>
          <w:rFonts w:ascii="Times New Roman" w:hAnsi="Times New Roman" w:eastAsia="等线" w:cs="Times New Roman"/>
          <w:color w:val="auto"/>
          <w:sz w:val="24"/>
        </w:rPr>
        <w:t>.</w:t>
      </w:r>
      <w:r>
        <w:rPr>
          <w:rFonts w:hint="eastAsia" w:ascii="Times New Roman" w:hAnsi="Times New Roman" w:eastAsia="等线" w:cs="Times New Roman"/>
          <w:color w:val="auto"/>
          <w:sz w:val="24"/>
        </w:rPr>
        <w:t xml:space="preserve"> Detailed TGA results </w:t>
      </w:r>
      <w:r>
        <w:rPr>
          <w:rFonts w:ascii="Times New Roman" w:hAnsi="Times New Roman" w:eastAsia="等线" w:cs="Times New Roman"/>
          <w:color w:val="auto"/>
          <w:sz w:val="24"/>
        </w:rPr>
        <w:t xml:space="preserve">of </w:t>
      </w:r>
      <w:r>
        <w:rPr>
          <w:rFonts w:hint="eastAsia" w:ascii="Times New Roman" w:hAnsi="Times New Roman" w:eastAsia="等线" w:cs="Times New Roman"/>
          <w:color w:val="auto"/>
          <w:sz w:val="24"/>
          <w:lang w:val="en-US" w:eastAsia="zh-CN"/>
        </w:rPr>
        <w:t>XLPE</w:t>
      </w:r>
      <w:r>
        <w:rPr>
          <w:rFonts w:ascii="Times New Roman" w:hAnsi="Times New Roman" w:eastAsia="等线" w:cs="Times New Roman"/>
          <w:color w:val="auto"/>
          <w:sz w:val="24"/>
        </w:rPr>
        <w:t xml:space="preserve"> composites under </w:t>
      </w:r>
      <w:r>
        <w:rPr>
          <w:rFonts w:ascii="Times New Roman" w:hAnsi="Times New Roman" w:eastAsia="等线" w:cs="Times New Roman"/>
          <w:b/>
          <w:bCs/>
          <w:color w:val="auto"/>
          <w:sz w:val="24"/>
        </w:rPr>
        <w:t>N</w:t>
      </w:r>
      <w:r>
        <w:rPr>
          <w:rFonts w:ascii="Times New Roman" w:hAnsi="Times New Roman" w:eastAsia="等线" w:cs="Times New Roman"/>
          <w:b/>
          <w:bCs/>
          <w:color w:val="auto"/>
          <w:sz w:val="24"/>
          <w:vertAlign w:val="subscript"/>
        </w:rPr>
        <w:t>2</w:t>
      </w:r>
      <w:r>
        <w:rPr>
          <w:rFonts w:ascii="Times New Roman" w:hAnsi="Times New Roman" w:eastAsia="等线" w:cs="Times New Roman"/>
          <w:color w:val="auto"/>
          <w:sz w:val="24"/>
        </w:rPr>
        <w:t>.</w:t>
      </w:r>
    </w:p>
    <w:tbl>
      <w:tblPr>
        <w:tblStyle w:val="5"/>
        <w:tblW w:w="8072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31"/>
        <w:gridCol w:w="154"/>
        <w:gridCol w:w="778"/>
        <w:gridCol w:w="143"/>
        <w:gridCol w:w="1351"/>
        <w:gridCol w:w="187"/>
        <w:gridCol w:w="1180"/>
        <w:gridCol w:w="204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0" w:hRule="exact"/>
          <w:jc w:val="center"/>
        </w:trPr>
        <w:tc>
          <w:tcPr>
            <w:tcW w:w="2385" w:type="dxa"/>
            <w:gridSpan w:val="2"/>
            <w:tcBorders>
              <w:top w:val="single" w:color="17B2DF" w:sz="4" w:space="0"/>
              <w:left w:val="nil"/>
              <w:bottom w:val="single" w:color="17B2DF" w:sz="4" w:space="0"/>
              <w:right w:val="nil"/>
            </w:tcBorders>
            <w:shd w:val="clear" w:color="auto" w:fill="C6ECF9"/>
            <w:vAlign w:val="center"/>
          </w:tcPr>
          <w:p>
            <w:pPr>
              <w:spacing w:line="360" w:lineRule="auto"/>
              <w:ind w:firstLine="858" w:firstLineChars="390"/>
              <w:jc w:val="both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Sample</w:t>
            </w:r>
          </w:p>
        </w:tc>
        <w:tc>
          <w:tcPr>
            <w:tcW w:w="778" w:type="dxa"/>
            <w:tcBorders>
              <w:top w:val="single" w:color="17B2DF" w:sz="4" w:space="0"/>
              <w:left w:val="nil"/>
              <w:bottom w:val="single" w:color="17B2DF" w:sz="4" w:space="0"/>
              <w:right w:val="nil"/>
            </w:tcBorders>
            <w:shd w:val="clear" w:color="auto" w:fill="C6ECF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T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  <w:t>-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  <w:t>5 wt%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perscript"/>
                <w:lang w:bidi="en-US"/>
              </w:rPr>
              <w:t>o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)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bscript"/>
                <w:lang w:bidi="en-US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</w:p>
        </w:tc>
        <w:tc>
          <w:tcPr>
            <w:tcW w:w="1494" w:type="dxa"/>
            <w:gridSpan w:val="2"/>
            <w:tcBorders>
              <w:top w:val="single" w:color="17B2DF" w:sz="4" w:space="0"/>
              <w:left w:val="nil"/>
              <w:bottom w:val="single" w:color="17B2DF" w:sz="4" w:space="0"/>
              <w:right w:val="nil"/>
            </w:tcBorders>
            <w:shd w:val="clear" w:color="auto" w:fill="C6ECF9"/>
            <w:vAlign w:val="center"/>
          </w:tcPr>
          <w:p>
            <w:pPr>
              <w:spacing w:line="360" w:lineRule="auto"/>
              <w:ind w:firstLine="56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  <w:t>max-1</w:t>
            </w:r>
          </w:p>
          <w:p>
            <w:pPr>
              <w:spacing w:line="360" w:lineRule="auto"/>
              <w:ind w:firstLine="56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perscript"/>
                <w:lang w:bidi="en-US"/>
              </w:rPr>
              <w:t>o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1367" w:type="dxa"/>
            <w:gridSpan w:val="2"/>
            <w:tcBorders>
              <w:top w:val="single" w:color="17B2DF" w:sz="4" w:space="0"/>
              <w:left w:val="nil"/>
              <w:bottom w:val="single" w:color="17B2DF" w:sz="4" w:space="0"/>
              <w:right w:val="nil"/>
            </w:tcBorders>
            <w:shd w:val="clear" w:color="auto" w:fill="C6ECF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T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  <w:t>max-2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vertAlign w:val="subscript"/>
                <w:lang w:eastAsia="en-US" w:bidi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vertAlign w:val="superscript"/>
                <w:lang w:bidi="en-US"/>
              </w:rPr>
              <w:t>o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2048" w:type="dxa"/>
            <w:tcBorders>
              <w:top w:val="single" w:color="17B2DF" w:sz="4" w:space="0"/>
              <w:left w:val="nil"/>
              <w:bottom w:val="single" w:color="17B2DF" w:sz="4" w:space="0"/>
              <w:right w:val="nil"/>
            </w:tcBorders>
            <w:shd w:val="clear" w:color="auto" w:fill="C6ECF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Char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residue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(wt%,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bidi="en-US"/>
              </w:rPr>
              <w:t xml:space="preserve"> 800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  <w:t>°C)</w:t>
            </w:r>
          </w:p>
          <w:p>
            <w:pPr>
              <w:spacing w:after="260" w:line="36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2"/>
                <w:szCs w:val="22"/>
                <w:lang w:eastAsia="en-US" w:bidi="en-US"/>
              </w:rPr>
            </w:pPr>
          </w:p>
          <w:p>
            <w:pPr>
              <w:spacing w:line="360" w:lineRule="auto"/>
              <w:ind w:firstLine="638" w:firstLineChars="290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eastAsia="en-US" w:bidi="en-US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single" w:color="17B2DF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4"/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XLPE-1</w:t>
            </w:r>
          </w:p>
        </w:tc>
        <w:tc>
          <w:tcPr>
            <w:tcW w:w="1075" w:type="dxa"/>
            <w:gridSpan w:val="3"/>
            <w:tcBorders>
              <w:top w:val="single" w:color="17B2DF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258.0</w:t>
            </w:r>
          </w:p>
        </w:tc>
        <w:tc>
          <w:tcPr>
            <w:tcW w:w="1538" w:type="dxa"/>
            <w:gridSpan w:val="2"/>
            <w:tcBorders>
              <w:top w:val="single" w:color="17B2DF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278.3</w:t>
            </w:r>
          </w:p>
        </w:tc>
        <w:tc>
          <w:tcPr>
            <w:tcW w:w="1180" w:type="dxa"/>
            <w:tcBorders>
              <w:top w:val="single" w:color="17B2DF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460.8</w:t>
            </w:r>
          </w:p>
        </w:tc>
        <w:tc>
          <w:tcPr>
            <w:tcW w:w="2048" w:type="dxa"/>
            <w:tcBorders>
              <w:top w:val="single" w:color="17B2DF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2.1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</w:tcPr>
          <w:p>
            <w:pPr>
              <w:pStyle w:val="4"/>
              <w:widowControl/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XLPE-2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223.8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274.1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466.4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14.1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4"/>
              <w:widowControl/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XLPE-3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267.8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276.9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467.1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14.8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</w:tcPr>
          <w:p>
            <w:pPr>
              <w:pStyle w:val="4"/>
              <w:widowControl/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XLPE-4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235.0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276.5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466.4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EDFAFE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16.2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4"/>
              <w:widowControl/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XLPE-5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262.2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276.9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466.4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4"/>
              <w:widowControl/>
              <w:spacing w:line="360" w:lineRule="auto"/>
              <w:ind w:left="0" w:leftChars="0" w:right="0" w:rightChars="0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14.5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2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single" w:color="17B2DF" w:sz="4" w:space="0"/>
              <w:right w:val="nil"/>
            </w:tcBorders>
            <w:shd w:val="clear" w:color="auto" w:fill="EDFAFE"/>
          </w:tcPr>
          <w:p>
            <w:pPr>
              <w:pStyle w:val="4"/>
              <w:widowControl/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auto"/>
                <w:kern w:val="2"/>
                <w:sz w:val="22"/>
                <w:szCs w:val="22"/>
                <w:lang w:val="en-US" w:eastAsia="zh-CN" w:bidi="en-US"/>
              </w:rPr>
              <w:t>XLPE-6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color="17B2DF" w:sz="4" w:space="0"/>
              <w:right w:val="nil"/>
            </w:tcBorders>
            <w:shd w:val="clear" w:color="auto" w:fill="EDFAF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232.2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color="17B2DF" w:sz="4" w:space="0"/>
              <w:right w:val="nil"/>
            </w:tcBorders>
            <w:shd w:val="clear" w:color="auto" w:fill="EDFAF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277.6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17B2DF" w:sz="4" w:space="0"/>
              <w:right w:val="nil"/>
            </w:tcBorders>
            <w:shd w:val="clear" w:color="auto" w:fill="EDFAF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466.4</w:t>
            </w:r>
          </w:p>
        </w:tc>
        <w:tc>
          <w:tcPr>
            <w:tcW w:w="2048" w:type="dxa"/>
            <w:tcBorders>
              <w:top w:val="nil"/>
              <w:left w:val="nil"/>
              <w:bottom w:val="single" w:color="17B2DF" w:sz="4" w:space="0"/>
              <w:right w:val="nil"/>
            </w:tcBorders>
            <w:shd w:val="clear" w:color="auto" w:fill="EDFAF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</w:pPr>
            <w:r>
              <w:rPr>
                <w:rFonts w:hint="eastAsia" w:ascii="Times New Roman" w:hAnsi="Times New Roman" w:eastAsia="宋体"/>
                <w:color w:val="auto"/>
                <w:kern w:val="2"/>
                <w:sz w:val="22"/>
                <w:szCs w:val="22"/>
                <w:lang w:bidi="en-US"/>
              </w:rPr>
              <w:t>15.8</w:t>
            </w:r>
          </w:p>
        </w:tc>
      </w:tr>
    </w:tbl>
    <w:p>
      <w:pPr>
        <w:numPr>
          <w:ilvl w:val="0"/>
          <w:numId w:val="0"/>
        </w:numPr>
        <w:spacing w:line="480" w:lineRule="auto"/>
        <w:ind w:leftChars="0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hint="eastAsia" w:eastAsiaTheme="minorEastAsia"/>
          <w:color w:val="auto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 xml:space="preserve">3.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Figure</w:t>
      </w:r>
      <w:r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s</w:t>
      </w:r>
    </w:p>
    <w:p>
      <w:pPr>
        <w:spacing w:line="48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4521200"/>
            <wp:effectExtent l="0" t="0" r="1079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both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S1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XPS spectra of APP, SiAPP, and MCAPP.</w:t>
      </w:r>
    </w:p>
    <w:p>
      <w:pPr>
        <w:spacing w:line="480" w:lineRule="auto"/>
        <w:jc w:val="both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</w:p>
    <w:p>
      <w:pPr>
        <w:spacing w:line="48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0500" cy="187452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default" w:eastAsiaTheme="minorEastAsia"/>
          <w:color w:val="auto"/>
          <w:lang w:val="en-US" w:eastAsia="zh-CN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S2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Chemical compositions of MCAPP from EDX.</w:t>
      </w:r>
    </w:p>
    <w:p>
      <w:pPr>
        <w:spacing w:line="48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865" cy="2679700"/>
            <wp:effectExtent l="0" t="0" r="698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Times New Roman" w:hAnsi="Times New Roman" w:cs="Times New Roman"/>
          <w:color w:val="auto"/>
          <w:sz w:val="24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Fig. 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 xml:space="preserve">Cross-sectional SEM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mapping </w:t>
      </w:r>
      <w:r>
        <w:rPr>
          <w:rFonts w:ascii="Times New Roman" w:hAnsi="Times New Roman" w:eastAsia="宋体" w:cs="Times New Roman"/>
          <w:color w:val="auto"/>
          <w:sz w:val="24"/>
        </w:rPr>
        <w:t>images</w:t>
      </w:r>
      <w:r>
        <w:rPr>
          <w:rFonts w:hint="eastAsia" w:ascii="Times New Roman" w:hAnsi="Times New Roman" w:eastAsia="宋体" w:cs="Times New Roman"/>
          <w:color w:val="auto"/>
          <w:sz w:val="24"/>
        </w:rPr>
        <w:t xml:space="preserve"> of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XLPE-4</w:t>
      </w:r>
      <w:r>
        <w:rPr>
          <w:rFonts w:hint="eastAsia" w:ascii="Times New Roman" w:hAnsi="Times New Roman" w:eastAsia="宋体" w:cs="Times New Roman"/>
          <w:color w:val="auto"/>
          <w:sz w:val="24"/>
        </w:rPr>
        <w:t xml:space="preserve"> composite</w:t>
      </w:r>
      <w:r>
        <w:rPr>
          <w:rFonts w:hint="eastAsia" w:ascii="Times New Roman" w:hAnsi="Times New Roman" w:cs="Times New Roman"/>
          <w:color w:val="auto"/>
          <w:sz w:val="24"/>
        </w:rPr>
        <w:t>.</w:t>
      </w:r>
    </w:p>
    <w:p>
      <w:pPr>
        <w:spacing w:line="480" w:lineRule="auto"/>
        <w:rPr>
          <w:rFonts w:hint="eastAsia" w:ascii="Times New Roman" w:hAnsi="Times New Roman" w:cs="Times New Roman"/>
          <w:color w:val="auto"/>
          <w:sz w:val="24"/>
        </w:rPr>
      </w:pPr>
    </w:p>
    <w:p>
      <w:pPr>
        <w:spacing w:line="48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3675" cy="3936365"/>
            <wp:effectExtent l="0" t="0" r="3175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  <w:color w:val="auto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S4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>.</w:t>
      </w:r>
      <w:r>
        <w:rPr>
          <w:rFonts w:hint="eastAsia" w:ascii="Times New Roman" w:hAnsi="Times New Roman" w:cs="Times New Roman"/>
          <w:color w:val="auto"/>
          <w:sz w:val="24"/>
        </w:rPr>
        <w:t xml:space="preserve"> Digital photos of char residue</w:t>
      </w:r>
      <w:r>
        <w:rPr>
          <w:rFonts w:ascii="Times New Roman" w:hAnsi="Times New Roman" w:cs="Times New Roman"/>
          <w:color w:val="auto"/>
          <w:sz w:val="24"/>
        </w:rPr>
        <w:t>s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 xml:space="preserve">for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XL</w:t>
      </w:r>
      <w:r>
        <w:rPr>
          <w:rFonts w:hint="eastAsia" w:ascii="Times New Roman" w:hAnsi="Times New Roman" w:cs="Times New Roman"/>
          <w:color w:val="auto"/>
          <w:sz w:val="24"/>
        </w:rPr>
        <w:t>PE composites.</w:t>
      </w:r>
    </w:p>
    <w:p>
      <w:p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525" cy="95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9525" cy="9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67960" cy="2659380"/>
            <wp:effectExtent l="0" t="0" r="889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default" w:eastAsiaTheme="minorEastAsia"/>
          <w:color w:val="auto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</w:rPr>
        <w:t>Fig. 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. SEM mapping image of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char residue from XLPE-4 composite.</w:t>
      </w:r>
    </w:p>
    <w:p>
      <w:pPr>
        <w:spacing w:line="48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3223895"/>
            <wp:effectExtent l="0" t="0" r="4445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both"/>
        <w:rPr>
          <w:rFonts w:hint="eastAsia"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b/>
          <w:bCs/>
          <w:color w:val="auto"/>
          <w:sz w:val="24"/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S6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>.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(a) XPS survey spectra and (b</w:t>
      </w:r>
      <w:r>
        <w:rPr>
          <w:rFonts w:hint="default" w:ascii="Times New Roman" w:hAnsi="Times New Roman" w:cs="Times New Roman"/>
          <w:color w:val="auto"/>
          <w:sz w:val="24"/>
        </w:rPr>
        <w:t>−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e</w:t>
      </w:r>
      <w:r>
        <w:rPr>
          <w:rFonts w:hint="eastAsia" w:ascii="Times New Roman" w:hAnsi="Times New Roman" w:cs="Times New Roman"/>
          <w:color w:val="auto"/>
          <w:sz w:val="24"/>
        </w:rPr>
        <w:t xml:space="preserve">) its high resolution XPS spectra of char residue: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N</w:t>
      </w:r>
      <w:r>
        <w:rPr>
          <w:rFonts w:hint="eastAsia" w:ascii="Times New Roman" w:hAnsi="Times New Roman" w:cs="Times New Roman"/>
          <w:color w:val="auto"/>
          <w:sz w:val="24"/>
        </w:rPr>
        <w:t xml:space="preserve"> 1s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, Si</w:t>
      </w:r>
      <w:r>
        <w:rPr>
          <w:rFonts w:hint="eastAsia" w:ascii="Times New Roman" w:hAnsi="Times New Roman" w:cs="Times New Roman"/>
          <w:color w:val="auto"/>
          <w:sz w:val="24"/>
        </w:rPr>
        <w:t xml:space="preserve"> 2p, P 2p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,</w:t>
      </w:r>
      <w:r>
        <w:rPr>
          <w:rFonts w:hint="eastAsia" w:ascii="Times New Roman" w:hAnsi="Times New Roman" w:cs="Times New Roman"/>
          <w:color w:val="auto"/>
          <w:sz w:val="24"/>
        </w:rPr>
        <w:t xml:space="preserve"> and C 1s</w:t>
      </w:r>
      <w:r>
        <w:rPr>
          <w:rFonts w:ascii="Times New Roman" w:hAnsi="Times New Roman" w:cs="Times New Roman"/>
          <w:color w:val="auto"/>
          <w:sz w:val="24"/>
        </w:rPr>
        <w:t>.</w:t>
      </w:r>
      <w:r>
        <w:rPr>
          <w:rFonts w:hint="eastAsia" w:ascii="Times New Roman" w:hAnsi="Times New Roman" w:cs="Times New Roman"/>
          <w:color w:val="auto"/>
          <w:sz w:val="24"/>
        </w:rPr>
        <w:t xml:space="preserve"> (e</w:t>
      </w:r>
      <w:r>
        <w:rPr>
          <w:rFonts w:hint="default" w:ascii="Times New Roman" w:hAnsi="Times New Roman" w:cs="Times New Roman"/>
          <w:color w:val="auto"/>
          <w:sz w:val="24"/>
        </w:rPr>
        <w:t>−</w:t>
      </w:r>
      <w:r>
        <w:rPr>
          <w:rFonts w:hint="eastAsia" w:ascii="Times New Roman" w:hAnsi="Times New Roman" w:cs="Times New Roman"/>
          <w:color w:val="auto"/>
          <w:sz w:val="24"/>
        </w:rPr>
        <w:t xml:space="preserve">f)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RT-FT</w:t>
      </w:r>
      <w:r>
        <w:rPr>
          <w:rFonts w:ascii="Times New Roman" w:hAnsi="Times New Roman" w:cs="Times New Roman"/>
          <w:color w:val="auto"/>
          <w:sz w:val="24"/>
        </w:rPr>
        <w:t>IR</w:t>
      </w:r>
      <w:r>
        <w:rPr>
          <w:rFonts w:hint="eastAsia" w:ascii="Times New Roman" w:hAnsi="Times New Roman" w:cs="Times New Roman"/>
          <w:color w:val="auto"/>
          <w:sz w:val="24"/>
        </w:rPr>
        <w:t xml:space="preserve"> spectra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of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XL</w:t>
      </w:r>
      <w:r>
        <w:rPr>
          <w:rFonts w:hint="eastAsia" w:ascii="Times New Roman" w:hAnsi="Times New Roman" w:cs="Times New Roman"/>
          <w:color w:val="auto"/>
          <w:sz w:val="24"/>
          <w:lang w:eastAsia="zh-CN"/>
        </w:rPr>
        <w:t>PE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-4</w:t>
      </w:r>
      <w:r>
        <w:rPr>
          <w:rFonts w:hint="eastAsia" w:ascii="Times New Roman" w:hAnsi="Times New Roman" w:cs="Times New Roman"/>
          <w:color w:val="auto"/>
          <w:sz w:val="24"/>
        </w:rPr>
        <w:t xml:space="preserve"> at different temperatures.</w:t>
      </w:r>
    </w:p>
    <w:p>
      <w:pPr>
        <w:spacing w:line="480" w:lineRule="auto"/>
        <w:jc w:val="both"/>
        <w:rPr>
          <w:rFonts w:hint="eastAsia" w:ascii="Times New Roman" w:hAnsi="Times New Roman" w:eastAsia="Times New Roman" w:cs="Times New Roman"/>
          <w:b/>
          <w:bCs/>
          <w:color w:val="auto"/>
          <w:sz w:val="26"/>
          <w:szCs w:val="26"/>
          <w:lang w:val="en-US" w:bidi="zh-CN"/>
        </w:rPr>
      </w:pPr>
    </w:p>
    <w:p>
      <w:pPr>
        <w:spacing w:line="480" w:lineRule="auto"/>
        <w:jc w:val="both"/>
        <w:rPr>
          <w:rFonts w:hint="eastAsia" w:ascii="Times New Roman" w:hAnsi="Times New Roman" w:eastAsia="Times New Roman" w:cs="Times New Roman"/>
          <w:b/>
          <w:bCs/>
          <w:color w:val="auto"/>
          <w:sz w:val="26"/>
          <w:szCs w:val="26"/>
          <w:lang w:val="en-US" w:bidi="zh-CN"/>
        </w:rPr>
      </w:pPr>
    </w:p>
    <w:p>
      <w:pPr>
        <w:spacing w:line="480" w:lineRule="auto"/>
        <w:jc w:val="both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78C920"/>
    <w:multiLevelType w:val="singleLevel"/>
    <w:tmpl w:val="A478C920"/>
    <w:lvl w:ilvl="0" w:tentative="0">
      <w:start w:val="17"/>
      <w:numFmt w:val="decimal"/>
      <w:suff w:val="space"/>
      <w:lvlText w:val="%1."/>
      <w:lvlJc w:val="left"/>
    </w:lvl>
  </w:abstractNum>
  <w:abstractNum w:abstractNumId="1">
    <w:nsid w:val="0D8F6031"/>
    <w:multiLevelType w:val="multilevel"/>
    <w:tmpl w:val="0D8F6031"/>
    <w:lvl w:ilvl="0" w:tentative="0">
      <w:start w:val="1"/>
      <w:numFmt w:val="decimal"/>
      <w:lvlText w:val="%1"/>
      <w:lvlJc w:val="left"/>
      <w:rPr>
        <w:rFonts w:hint="default" w:ascii="Times New Roman" w:hAnsi="Times New Roman" w:eastAsia="等线 Light" w:cs="Times New Roman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Times New Roman" w:hAnsi="Times New Roman" w:cs="Times New Roman"/>
        <w:sz w:val="28"/>
        <w:szCs w:val="28"/>
      </w:rPr>
    </w:lvl>
    <w:lvl w:ilvl="2" w:tentative="0">
      <w:start w:val="1"/>
      <w:numFmt w:val="decimal"/>
      <w:pStyle w:val="2"/>
      <w:lvlText w:val="%1.%2.%3"/>
      <w:lvlJc w:val="left"/>
      <w:rPr>
        <w:rFonts w:hint="default" w:ascii="Times New Roman" w:hAnsi="Times New Roman" w:eastAsia="等线 Light" w:cs="Times New Roman"/>
        <w:b/>
        <w:bCs w:val="0"/>
        <w:color w:val="auto"/>
        <w:sz w:val="24"/>
        <w:szCs w:val="24"/>
      </w:rPr>
    </w:lvl>
    <w:lvl w:ilvl="3" w:tentative="0">
      <w:start w:val="1"/>
      <w:numFmt w:val="decimal"/>
      <w:lvlText w:val="%1.%2.%3.%4"/>
      <w:lvlJc w:val="left"/>
      <w:pPr>
        <w:ind w:left="567" w:hanging="567"/>
      </w:pPr>
      <w:rPr>
        <w:rFonts w:hint="eastAsia"/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567" w:hanging="567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567" w:hanging="567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567" w:hanging="567"/>
      </w:pPr>
      <w:rPr>
        <w:rFonts w:hint="eastAsia"/>
      </w:rPr>
    </w:lvl>
    <w:lvl w:ilvl="7" w:tentative="0">
      <w:start w:val="1"/>
      <w:numFmt w:val="decimal"/>
      <w:lvlRestart w:val="0"/>
      <w:lvlText w:val="图片%8"/>
      <w:lvlJc w:val="left"/>
      <w:pPr>
        <w:ind w:left="4819" w:hanging="567"/>
      </w:pPr>
      <w:rPr>
        <w:rFonts w:hint="eastAsia"/>
      </w:rPr>
    </w:lvl>
    <w:lvl w:ilvl="8" w:tentative="0">
      <w:start w:val="1"/>
      <w:numFmt w:val="decimal"/>
      <w:lvlRestart w:val="0"/>
      <w:lvlText w:val="(%9)"/>
      <w:lvlJc w:val="left"/>
      <w:pPr>
        <w:ind w:left="567" w:hanging="567"/>
      </w:pPr>
      <w:rPr>
        <w:rFonts w:hint="eastAsia"/>
      </w:rPr>
    </w:lvl>
  </w:abstractNum>
  <w:abstractNum w:abstractNumId="2">
    <w:nsid w:val="14F23476"/>
    <w:multiLevelType w:val="multilevel"/>
    <w:tmpl w:val="14F23476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3FF3F3B"/>
    <w:multiLevelType w:val="multilevel"/>
    <w:tmpl w:val="73FF3F3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kOTkwMjc5N2NhOTkxODdlOGVkMGIxMWY0NDcyMjMifQ=="/>
  </w:docVars>
  <w:rsids>
    <w:rsidRoot w:val="22535774"/>
    <w:rsid w:val="01406192"/>
    <w:rsid w:val="02640231"/>
    <w:rsid w:val="054A60C3"/>
    <w:rsid w:val="056B034E"/>
    <w:rsid w:val="0EA50CE3"/>
    <w:rsid w:val="132316DC"/>
    <w:rsid w:val="171777A0"/>
    <w:rsid w:val="1D493CD2"/>
    <w:rsid w:val="22535774"/>
    <w:rsid w:val="26C4064C"/>
    <w:rsid w:val="27280C17"/>
    <w:rsid w:val="28931457"/>
    <w:rsid w:val="2CA139DA"/>
    <w:rsid w:val="2D0D63B3"/>
    <w:rsid w:val="33B83855"/>
    <w:rsid w:val="34455813"/>
    <w:rsid w:val="34B64574"/>
    <w:rsid w:val="359B6C0D"/>
    <w:rsid w:val="3BFD634E"/>
    <w:rsid w:val="3C292DC0"/>
    <w:rsid w:val="40E5333C"/>
    <w:rsid w:val="481F4B56"/>
    <w:rsid w:val="4E8C7D23"/>
    <w:rsid w:val="4ED41501"/>
    <w:rsid w:val="4F53402C"/>
    <w:rsid w:val="57227388"/>
    <w:rsid w:val="5CC743AA"/>
    <w:rsid w:val="60096F8A"/>
    <w:rsid w:val="62791706"/>
    <w:rsid w:val="69417F9C"/>
    <w:rsid w:val="6FF46241"/>
    <w:rsid w:val="7151223D"/>
    <w:rsid w:val="746F2FAE"/>
    <w:rsid w:val="775A1087"/>
    <w:rsid w:val="7AC67D2A"/>
    <w:rsid w:val="7B9E5C3F"/>
    <w:rsid w:val="7CF4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等线" w:hAnsi="等线"/>
      <w:b/>
      <w:bCs/>
      <w:sz w:val="24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note text"/>
    <w:basedOn w:val="1"/>
    <w:semiHidden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  <w:szCs w:val="2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otnote reference"/>
    <w:basedOn w:val="7"/>
    <w:semiHidden/>
    <w:qFormat/>
    <w:uiPriority w:val="0"/>
    <w:rPr>
      <w:vertAlign w:val="superscript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1278</Words>
  <Characters>6711</Characters>
  <Lines>0</Lines>
  <Paragraphs>0</Paragraphs>
  <TotalTime>12</TotalTime>
  <ScaleCrop>false</ScaleCrop>
  <LinksUpToDate>false</LinksUpToDate>
  <CharactersWithSpaces>7851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2022-05-23T03:24:00Z</dcterms:created>
  <dc:creator>为明天奔跑</dc:creator>
  <cp:lastModifiedBy>西瓜芝麻</cp:lastModifiedBy>
  <dcterms:modified xsi:type="dcterms:W3CDTF">2023-11-09T08:52:13Z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9D96E96E479740EB81CE79F80BA271F3_13</vt:lpwstr>
  </property>
</Properties>
</file>